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2" w:firstLineChars="200"/>
        <w:jc w:val="center"/>
        <w:textAlignment w:val="auto"/>
        <w:rPr>
          <w:rFonts w:hint="eastAsia"/>
          <w:b/>
          <w:bCs/>
          <w:sz w:val="28"/>
          <w:szCs w:val="28"/>
        </w:rPr>
      </w:pPr>
      <w:r>
        <w:rPr>
          <w:rFonts w:hint="default"/>
          <w:b/>
          <w:bCs/>
          <w:sz w:val="28"/>
          <w:szCs w:val="28"/>
        </w:rPr>
        <w:t>中华人民共和国主席令</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2" w:firstLineChars="200"/>
        <w:jc w:val="center"/>
        <w:textAlignment w:val="auto"/>
        <w:rPr>
          <w:rFonts w:hint="default"/>
          <w:b/>
          <w:bCs/>
          <w:sz w:val="28"/>
          <w:szCs w:val="28"/>
        </w:rPr>
      </w:pPr>
      <w:r>
        <w:rPr>
          <w:rFonts w:hint="default"/>
          <w:b/>
          <w:bCs/>
          <w:sz w:val="28"/>
          <w:szCs w:val="28"/>
        </w:rPr>
        <w:t>第四十七号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8"/>
          <w:sz w:val="28"/>
          <w:szCs w:val="28"/>
        </w:rPr>
      </w:pPr>
      <w:r>
        <w:rPr>
          <w:rFonts w:hint="default" w:ascii="Helvetica" w:hAnsi="Helvetica" w:eastAsia="Helvetica" w:cs="Helvetica"/>
          <w:b w:val="0"/>
          <w:i w:val="0"/>
          <w:caps w:val="0"/>
          <w:color w:val="404040"/>
          <w:spacing w:val="8"/>
          <w:sz w:val="27"/>
          <w:szCs w:val="27"/>
          <w:bdr w:val="none" w:color="auto" w:sz="0" w:space="0"/>
          <w:shd w:val="clear" w:fill="FFFFFF"/>
        </w:rPr>
        <w:t>　　</w:t>
      </w:r>
      <w:r>
        <w:rPr>
          <w:rFonts w:hint="default" w:ascii="Helvetica" w:hAnsi="Helvetica" w:eastAsia="Helvetica" w:cs="Helvetica"/>
          <w:b w:val="0"/>
          <w:i w:val="0"/>
          <w:caps w:val="0"/>
          <w:color w:val="404040"/>
          <w:spacing w:val="8"/>
          <w:sz w:val="28"/>
          <w:szCs w:val="28"/>
          <w:bdr w:val="none" w:color="auto" w:sz="0" w:space="0"/>
          <w:shd w:val="clear" w:fill="FFFFFF"/>
        </w:rPr>
        <w:t>《中华人民共和国档案法》已由中华人民共和国第十三届全国人民代表大会常务委员会第十九次会议于2020年6月20日修订通过，现予公布，自2021年1月1日起施行。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default" w:ascii="Helvetica" w:hAnsi="Helvetica" w:eastAsia="Helvetica" w:cs="Helvetica"/>
          <w:b w:val="0"/>
          <w:i w:val="0"/>
          <w:caps w:val="0"/>
          <w:color w:val="404040"/>
          <w:spacing w:val="8"/>
          <w:sz w:val="28"/>
          <w:szCs w:val="28"/>
        </w:rPr>
      </w:pPr>
      <w:r>
        <w:rPr>
          <w:rFonts w:hint="default" w:ascii="Helvetica" w:hAnsi="Helvetica" w:eastAsia="Helvetica" w:cs="Helvetica"/>
          <w:b w:val="0"/>
          <w:i w:val="0"/>
          <w:caps w:val="0"/>
          <w:color w:val="404040"/>
          <w:spacing w:val="8"/>
          <w:sz w:val="28"/>
          <w:szCs w:val="28"/>
          <w:bdr w:val="none" w:color="auto" w:sz="0" w:space="0"/>
          <w:shd w:val="clear" w:fill="FFFFFF"/>
        </w:rPr>
        <w:t>　　　　　中华人民共和国主席　习近平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default" w:ascii="Helvetica" w:hAnsi="Helvetica" w:eastAsia="Helvetica" w:cs="Helvetica"/>
          <w:b w:val="0"/>
          <w:i w:val="0"/>
          <w:caps w:val="0"/>
          <w:color w:val="404040"/>
          <w:spacing w:val="8"/>
          <w:sz w:val="28"/>
          <w:szCs w:val="28"/>
        </w:rPr>
      </w:pPr>
      <w:r>
        <w:rPr>
          <w:rFonts w:hint="default" w:ascii="Helvetica" w:hAnsi="Helvetica" w:eastAsia="Helvetica" w:cs="Helvetica"/>
          <w:b w:val="0"/>
          <w:i w:val="0"/>
          <w:caps w:val="0"/>
          <w:color w:val="404040"/>
          <w:spacing w:val="8"/>
          <w:sz w:val="28"/>
          <w:szCs w:val="28"/>
          <w:bdr w:val="none" w:color="auto" w:sz="0" w:space="0"/>
          <w:shd w:val="clear" w:fill="FFFFFF"/>
        </w:rPr>
        <w:t>　　　　　　2020年6月20日</w:t>
      </w:r>
    </w:p>
    <w:p>
      <w:pPr>
        <w:keepNext w:val="0"/>
        <w:keepLines w:val="0"/>
        <w:pageBreakBefore w:val="0"/>
        <w:widowControl w:val="0"/>
        <w:kinsoku/>
        <w:wordWrap/>
        <w:overflowPunct/>
        <w:topLinePunct w:val="0"/>
        <w:autoSpaceDE/>
        <w:autoSpaceDN/>
        <w:bidi w:val="0"/>
        <w:adjustRightInd/>
        <w:snapToGrid/>
        <w:jc w:val="both"/>
        <w:textAlignment w:val="auto"/>
        <w:rPr>
          <w:rFonts w:hint="eastAsia"/>
          <w:sz w:val="21"/>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2" w:firstLineChars="200"/>
        <w:jc w:val="center"/>
        <w:textAlignment w:val="auto"/>
        <w:rPr>
          <w:rFonts w:hint="eastAsia"/>
          <w:b/>
          <w:bCs/>
          <w:sz w:val="28"/>
          <w:szCs w:val="28"/>
        </w:rPr>
      </w:pPr>
      <w:r>
        <w:rPr>
          <w:rFonts w:hint="eastAsia"/>
          <w:b/>
          <w:bCs/>
          <w:sz w:val="28"/>
          <w:szCs w:val="28"/>
        </w:rPr>
        <w:t>中华人民共和国档案法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目　　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第一章　总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第二章　档案机构及其职责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第三章　档案的管理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第四章　档案的利用和公布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第五章　档案信息化建设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第六章　监督检查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第八章　附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第一章　总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第一条　为了加强档案管理，规范档案收集、整理工作，有效保护和利用档案，提高档案信息化建设水平，推进国家治理体系和治理能力现代化，为中国特色社会主义事业服务，制定本法。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第二条　从事档案收集、整理、保护、利用及其监督管理活动，适用本法。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第四条　档案工作实行统一领导、分级管理的原则，维护档案完整与安全，便于社会各方面的利用。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第五条　一切国家机关、武装力量、政党、团体、企业事业单位和公民都有保护档案的义务，享有依法利用档案的权利。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第六条　国家鼓励和支持档案科学研究和技术创新，促进科技成果在档案收集、整理、保护、利用等方面的转化和应用，推动档案科技进步。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国家采取措施，加强档案宣传教育，增强全社会档案意识。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国家鼓励和支持在档案领域开展国际交流与合作。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第七条　国家鼓励社会力量参与和支持档案事业的发展。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对在档案收集、整理、保护、利用等方面做出突出贡献的单位和个人，按照国家有关规定给予表彰、奖励。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第二章　档案机构及其职责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第八条　国家档案主管部门主管全国的档案工作，负责全国档案事业的统筹规划和组织协调，建立统一制度，实行监督和指导。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县级以上地方档案主管部门主管本行政区域内的档案工作，对本行政区域内机关、团体、企业事业单位和其他组织的档案工作实行监督和指导。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乡镇人民政府应当指定人员负责管理本机关的档案，并对所属单位、基层群众性自治组织等的档案工作实行监督和指导。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第九条　机关、团体、企业事业单位和其他组织应当确定档案机构或者档案工作人员负责管理本单位的档案，并对所属单位的档案工作实行监督和指导。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中央国家机关根据档案管理需要，在职责范围内指导本系统的档案业务工作。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第十条　中央和县级以上地方各级各类档案馆，是集中管理档案的文化事业机构，负责收集、整理、保管和提供利用各自分管范围内的档案。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第十一条　国家加强档案工作人才培养和队伍建设，提高档案工作人员业务素质。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档案工作人员应当忠于职守，遵纪守法，具备相应的专业知识与技能，其中档案专业人员可以按照国家有关规定评定专业技术职称。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第三章　档案的管理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第十二条　按照国家规定应当形成档案的机关、团体、企业事业单位和其他组织，应当建立档案工作责任制，依法健全档案管理制度。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第十三条　直接形成的对国家和社会具有保存价值的下列材料，应当纳入归档范围：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（一）反映机关、团体组织沿革和主要职能活动的；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（二）反映国有企业事业单位主要研发、建设、生产、经营和服务活动，以及维护国有企业事业单位权益和职工权益的；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（三）反映基层群众性自治组织城乡社区治理、服务活动的；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（四）反映历史上各时期国家治理活动、经济科技发展、社会历史面貌、文化习俗、生态环境的；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（五）法律、行政法规规定应当归档的。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非国有企业、社会服务机构等单位依照前款第二项所列范围保存本单位相关材料。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第十四条　应当归档的材料，按照国家有关规定定期向本单位档案机构或者档案工作人员移交，集中管理，任何个人不得拒绝归档或者据为己有。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国家规定不得归档的材料，禁止擅自归档。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第十五条　机关、团体、企业事业单位和其他组织应当按照国家有关规定，定期向档案馆移交档案，档案馆不得拒绝接收。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第十六条　机关、团体、企业事业单位和其他组织发生机构变动或者撤销、合并等情形时，应当按照规定向有关单位或者档案馆移交档案。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第十七条　档案馆除按照国家有关规定接收移交的档案外，还可以通过接受捐献、购买、代存等方式收集档案。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第十八条　博物馆、图书馆、纪念馆等单位保存的文物、文献信息同时是档案的，依照有关法律、行政法规的规定，可以由上述单位自行管理。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档案馆与前款所列单位应当在档案的利用方面互相协作，可以相互交换重复件、复制件或者目录，联合举办展览，共同研究、编辑出版有关史料。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档案馆和机关、团体、企业事业单位以及其他组织应当建立健全档案安全工作机制，加强档案安全风险管理，提高档案安全应急处置能力。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第二十条　涉及国家秘密的档案的管理和利用，密级的变更和解密，应当依照有关保守国家秘密的法律、行政法规规定办理。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第二十一条　鉴定档案保存价值的原则、保管期限的标准以及销毁档案的程序和办法，由国家档案主管部门制定。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禁止篡改、损毁、伪造档案。禁止擅自销毁档案。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前款所列档案，档案所有者可以向国家档案馆寄存或者转让。严禁出卖、赠送给外国人或者外国组织。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向国家捐献重要、珍贵档案的，国家档案馆应当按照国家有关规定给予奖励。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第二十三条　禁止买卖属于国家所有的档案。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国有企业事业单位资产转让时，转让有关档案的具体办法，由国家档案主管部门制定。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档案复制件的交换、转让，按照国家有关规定办理。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受托方应当建立档案服务管理制度，遵守有关安全保密规定，确保档案的安全。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第二十五条　属于国家所有的档案和本法第二十二条规定的档案及其复制件，禁止擅自运送、邮寄、携带出境或者通过互联网传输出境。确需出境的，按照国家有关规定办理审批手续。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第二十六条　国家档案主管部门应当建立健全突发事件应对活动相关档案收集、整理、保护、利用工作机制。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档案馆应当加强对突发事件应对活动相关档案的研究整理和开发利用，为突发事件应对活动提供文献参考和决策支持。</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第四章　档案的利用和公布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第二十八条　档案馆应当通过其网站或者其他方式定期公布开放档案的目录，不断完善利用规则，创新服务形式，强化服务功能，提高服务水平，积极为档案的利用创造条件，简化手续，提供便利。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单位和个人持有合法证明，可以利用已经开放的档案。档案馆不按规定开放利用的，单位和个人可以向档案主管部门投诉，接到投诉的档案主管部门应当及时调查处理并将处理结果告知投诉人。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利用档案涉及知识产权、个人信息的，应当遵守有关法律、行政法规的规定。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第三十条　馆藏档案的开放审核，由档案馆会同档案形成单位或者移交单位共同负责。尚未移交进馆档案的开放审核，由档案形成单位或者保管单位负责，并在移交时附具意见。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第三十一条　向档案馆移交、捐献、寄存档案的单位和个人，可以优先利用该档案，并可以对档案中不宜向社会开放的部分提出限制利用的意见，档案馆应当予以支持，提供便利。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公布档案应当遵守有关法律、行政法规的规定，不得损害国家安全和利益，不得侵犯他人的合法权益。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第三十三条　档案馆应当根据自身条件，为国家机关制定法律、法规、政策和开展有关问题研究，提供支持和便利。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档案馆应当配备研究人员，加强对档案的研究整理，有计划地组织编辑出版档案材料，在不同范围内发行。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档案研究人员研究整理档案，应当遵守档案管理的规定。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第五章　档案信息化建设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第三十五条　各级人民政府应当将档案信息化纳入信息化发展规划，保障电子档案、传统载体档案数字化成果等档案数字资源的安全保存和有效利用。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档案馆和机关、团体、企业事业单位以及其他组织应当加强档案信息化建设，并采取措施保障档案信息安全。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第三十六条　机关、团体、企业事业单位和其他组织应当积极推进电子档案管理信息系统建设，与办公自动化系统、业务系统等相互衔接。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第三十七条　电子档案应当来源可靠、程序规范、要素合规。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电子档案与传统载体档案具有同等效力，可以以电子形式作为凭证使用。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电子档案管理办法由国家档案主管部门会同有关部门制定。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第三十八条　国家鼓励和支持档案馆和机关、团体、企业事业单位以及其他组织推进传统载体档案数字化。已经实现数字化的，应当对档案原件妥善保管。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第三十九条　电子档案应当通过符合安全管理要求的网络或者存储介质向档案馆移交。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档案馆应当对接收的电子档案进行检测，确保电子档案的真实性、完整性、可用性和安全性。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档案馆可以对重要电子档案进行异地备份保管。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第四十条　档案馆负责档案数字资源的收集、保存和提供利用。有条件的档案馆应当建设数字档案馆。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第四十一条　国家推进档案信息资源共享服务平台建设，推动档案数字资源跨区域、跨部门共享利用。</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第六章　监督检查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第四十二条　档案主管部门依照法律、行政法规有关档案管理的规定，可以对档案馆和机关、团体、企业事业单位以及其他组织的下列情况进行检查：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（一）档案工作责任制和管理制度落实情况；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（二）档案库房、设施、设备配置使用情况；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（三）档案工作人员管理情况；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（四）档案收集、整理、保管、提供利用等情况；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（五）档案信息化建设和信息安全保障情况；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（六）对所属单位等的档案工作监督和指导情况。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第四十三条　档案主管部门根据违法线索进行检查时，在符合安全保密要求的前提下，可以检查有关库房、设施、设备，查阅有关材料，询问有关人员，记录有关情况，有关单位和个人应当配合。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第四十四条　档案馆和机关、团体、企业事业单位以及其他组织发现本单位存在档案安全隐患的，应当及时采取补救措施，消除档案安全隐患。发生档案损毁、信息泄露等情形的，应当及时向档案主管部门报告。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第四十五条　档案主管部门发现档案馆和机关、团体、企业事业单位以及其他组织存在档案安全隐患的，应当责令限期整改，消除档案安全隐患。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第四十六条　任何单位和个人对档案违法行为，有权向档案主管部门和有关机关举报。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接到举报的档案主管部门或者有关机关应当及时依法处理。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第四十七条　档案主管部门及其工作人员应当按照法定的职权和程序开展监督检查工作，做到科学、公正、严格、高效，不得利用职权牟取利益，不得泄露履职过程中知悉的国家秘密、商业秘密或者个人隐私。</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第七章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（一）丢失属于国家所有的档案的；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（三）买卖或者非法转让属于国家所有的档案的；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（四）篡改、损毁、伪造档案或者擅自销毁档案的；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（五）将档案出卖、赠送给外国人或者外国组织的；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（六）不按规定归档或者不按期移交档案，被责令改正而拒不改正的；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（七）不按规定向社会开放、提供利用档案的；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（八）明知存在档案安全隐患而不采取补救措施，造成档案损毁、灭失，或者存在档案安全隐患被责令限期整改而逾期未整改的；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（九）发生档案安全事故后，不采取抢救措施或者隐瞒不报、拒绝调查的；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（十）档案工作人员玩忽职守，造成档案损毁、灭失的。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第五十一条　违反本法规定，构成犯罪的，依法追究刑事责任；造成财产损失或者其他损害的，依法承担民事责任。</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sz w:val="24"/>
          <w:szCs w:val="24"/>
        </w:rPr>
      </w:pPr>
      <w:r>
        <w:rPr>
          <w:rFonts w:hint="eastAsia"/>
          <w:sz w:val="24"/>
          <w:szCs w:val="24"/>
        </w:rPr>
        <w:t>第八章　附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第五十二条　中国人民解放军和中国人民武装警察部队的档案工作，由中央军事委员会依照本法制定管理办法。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第五十三条　本法自2021年1月1日起施行。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0BBD"/>
    <w:rsid w:val="0B4B0BBD"/>
    <w:rsid w:val="16215209"/>
    <w:rsid w:val="213160CB"/>
    <w:rsid w:val="25A53F78"/>
    <w:rsid w:val="37B01873"/>
    <w:rsid w:val="4F975143"/>
    <w:rsid w:val="57394077"/>
    <w:rsid w:val="6BC2206C"/>
    <w:rsid w:val="6DAF0840"/>
    <w:rsid w:val="71C3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2020-06-28T03:32:00Z</dcterms:created>
  <dc:creator>安聪娥</dc:creator>
  <cp:lastModifiedBy>安聪娥</cp:lastModifiedBy>
  <cp:lastPrinted>2020-06-28T07:26:47Z</cp:lastPrinted>
  <dcterms:modified xsi:type="dcterms:W3CDTF">2020-06-28T07:29:04Z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